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D1A" w:rsidRPr="006E4D1A" w:rsidRDefault="006E4D1A" w:rsidP="00A82399">
      <w:pPr>
        <w:spacing w:line="360" w:lineRule="auto"/>
        <w:jc w:val="both"/>
        <w:rPr>
          <w:rFonts w:ascii="Arial" w:hAnsi="Arial" w:cs="Arial"/>
          <w:sz w:val="40"/>
          <w:szCs w:val="24"/>
        </w:rPr>
      </w:pPr>
      <w:r w:rsidRPr="006E4D1A">
        <w:rPr>
          <w:rStyle w:val="A22"/>
          <w:rFonts w:ascii="Arial" w:hAnsi="Arial" w:cs="Arial"/>
          <w:color w:val="auto"/>
          <w:sz w:val="24"/>
        </w:rPr>
        <w:t xml:space="preserve">Una norma es un documento de </w:t>
      </w:r>
      <w:r w:rsidRPr="006E4D1A">
        <w:rPr>
          <w:rStyle w:val="A22"/>
          <w:rFonts w:ascii="Arial" w:hAnsi="Arial" w:cs="Arial"/>
          <w:bCs/>
          <w:color w:val="auto"/>
          <w:sz w:val="24"/>
        </w:rPr>
        <w:t xml:space="preserve">aplicación voluntaria </w:t>
      </w:r>
      <w:r w:rsidRPr="006E4D1A">
        <w:rPr>
          <w:rStyle w:val="A22"/>
          <w:rFonts w:ascii="Arial" w:hAnsi="Arial" w:cs="Arial"/>
          <w:color w:val="auto"/>
          <w:sz w:val="24"/>
        </w:rPr>
        <w:t xml:space="preserve">que contiene </w:t>
      </w:r>
      <w:r w:rsidRPr="006E4D1A">
        <w:rPr>
          <w:rStyle w:val="A22"/>
          <w:rFonts w:ascii="Arial" w:hAnsi="Arial" w:cs="Arial"/>
          <w:bCs/>
          <w:color w:val="auto"/>
          <w:sz w:val="24"/>
        </w:rPr>
        <w:t xml:space="preserve">especificaciones técnicas </w:t>
      </w:r>
      <w:r w:rsidRPr="006E4D1A">
        <w:rPr>
          <w:rStyle w:val="A22"/>
          <w:rFonts w:ascii="Arial" w:hAnsi="Arial" w:cs="Arial"/>
          <w:color w:val="auto"/>
          <w:sz w:val="24"/>
        </w:rPr>
        <w:t xml:space="preserve">basadas en los resultados de la experiencia y del desarrollo tecnológico, además deben ser </w:t>
      </w:r>
      <w:r w:rsidRPr="006E4D1A">
        <w:rPr>
          <w:rStyle w:val="A22"/>
          <w:rFonts w:ascii="Arial" w:hAnsi="Arial" w:cs="Arial"/>
          <w:bCs/>
          <w:color w:val="auto"/>
          <w:sz w:val="24"/>
        </w:rPr>
        <w:t xml:space="preserve">aprobadas por un organismo de normalización </w:t>
      </w:r>
      <w:r w:rsidRPr="006E4D1A">
        <w:rPr>
          <w:rStyle w:val="A22"/>
          <w:rFonts w:ascii="Arial" w:hAnsi="Arial" w:cs="Arial"/>
          <w:color w:val="auto"/>
          <w:sz w:val="24"/>
        </w:rPr>
        <w:t>reconocido.</w:t>
      </w:r>
    </w:p>
    <w:p w:rsidR="00A82399" w:rsidRDefault="006E4D1A" w:rsidP="00A82399">
      <w:pPr>
        <w:spacing w:line="360" w:lineRule="auto"/>
        <w:jc w:val="both"/>
        <w:rPr>
          <w:rFonts w:ascii="Arial" w:hAnsi="Arial" w:cs="Arial"/>
          <w:bCs/>
          <w:sz w:val="24"/>
          <w:szCs w:val="17"/>
        </w:rPr>
      </w:pPr>
      <w:r w:rsidRPr="006E4D1A">
        <w:rPr>
          <w:rFonts w:ascii="Arial" w:hAnsi="Arial" w:cs="Arial"/>
          <w:sz w:val="24"/>
        </w:rPr>
        <w:t>La normalización contribuye a la exportación a nuevos mercados y a la relevancia creciente de la innovación</w:t>
      </w:r>
      <w:r>
        <w:rPr>
          <w:rFonts w:ascii="Arial" w:hAnsi="Arial" w:cs="Arial"/>
          <w:sz w:val="24"/>
        </w:rPr>
        <w:t xml:space="preserve">, además contribuye </w:t>
      </w:r>
      <w:r>
        <w:rPr>
          <w:rStyle w:val="A22"/>
          <w:rFonts w:ascii="Arial" w:hAnsi="Arial" w:cs="Arial"/>
          <w:color w:val="auto"/>
          <w:sz w:val="24"/>
          <w:szCs w:val="24"/>
        </w:rPr>
        <w:t xml:space="preserve">a la mejora de la productividad, la competitividad y al crecimiento </w:t>
      </w:r>
      <w:r>
        <w:rPr>
          <w:rStyle w:val="A22"/>
          <w:rFonts w:ascii="Arial" w:hAnsi="Arial" w:cs="Arial"/>
          <w:color w:val="auto"/>
          <w:sz w:val="24"/>
          <w:szCs w:val="24"/>
        </w:rPr>
        <w:t>económico,</w:t>
      </w:r>
      <w:r>
        <w:rPr>
          <w:rFonts w:ascii="Arial" w:hAnsi="Arial" w:cs="Arial"/>
          <w:sz w:val="24"/>
        </w:rPr>
        <w:t xml:space="preserve"> la normalización tiene como objetivo la </w:t>
      </w:r>
      <w:r w:rsidRPr="006E4D1A">
        <w:rPr>
          <w:rFonts w:ascii="Arial" w:hAnsi="Arial" w:cs="Arial"/>
          <w:sz w:val="24"/>
          <w:szCs w:val="24"/>
        </w:rPr>
        <w:t xml:space="preserve">elaboración </w:t>
      </w:r>
      <w:r w:rsidRPr="006E4D1A">
        <w:rPr>
          <w:rStyle w:val="A22"/>
          <w:rFonts w:ascii="Arial" w:hAnsi="Arial" w:cs="Arial"/>
          <w:color w:val="auto"/>
          <w:sz w:val="24"/>
          <w:szCs w:val="24"/>
        </w:rPr>
        <w:t xml:space="preserve">de una serie de </w:t>
      </w:r>
      <w:r w:rsidRPr="006E4D1A">
        <w:rPr>
          <w:rStyle w:val="A22"/>
          <w:rFonts w:ascii="Arial" w:hAnsi="Arial" w:cs="Arial"/>
          <w:bCs/>
          <w:color w:val="auto"/>
          <w:sz w:val="24"/>
          <w:szCs w:val="24"/>
        </w:rPr>
        <w:t xml:space="preserve">especificaciones técnicas, </w:t>
      </w:r>
      <w:r w:rsidRPr="006E4D1A">
        <w:rPr>
          <w:rStyle w:val="A22"/>
          <w:rFonts w:ascii="Arial" w:hAnsi="Arial" w:cs="Arial"/>
          <w:color w:val="auto"/>
          <w:sz w:val="24"/>
          <w:szCs w:val="24"/>
        </w:rPr>
        <w:t xml:space="preserve">normas, que son utilizadas por las organizaciones, de manera </w:t>
      </w:r>
      <w:r w:rsidRPr="006E4D1A">
        <w:rPr>
          <w:rStyle w:val="A22"/>
          <w:rFonts w:ascii="Arial" w:hAnsi="Arial" w:cs="Arial"/>
          <w:bCs/>
          <w:color w:val="auto"/>
          <w:sz w:val="24"/>
          <w:szCs w:val="24"/>
        </w:rPr>
        <w:t xml:space="preserve">voluntaria, </w:t>
      </w:r>
      <w:r w:rsidRPr="006E4D1A">
        <w:rPr>
          <w:rStyle w:val="A22"/>
          <w:rFonts w:ascii="Arial" w:hAnsi="Arial" w:cs="Arial"/>
          <w:color w:val="auto"/>
          <w:sz w:val="24"/>
          <w:szCs w:val="24"/>
        </w:rPr>
        <w:t xml:space="preserve">como garantía para probar la </w:t>
      </w:r>
      <w:r w:rsidRPr="006E4D1A">
        <w:rPr>
          <w:rStyle w:val="A22"/>
          <w:rFonts w:ascii="Arial" w:hAnsi="Arial" w:cs="Arial"/>
          <w:bCs/>
          <w:color w:val="auto"/>
          <w:sz w:val="24"/>
          <w:szCs w:val="24"/>
        </w:rPr>
        <w:t xml:space="preserve">calidad y la seguridad </w:t>
      </w:r>
      <w:r w:rsidRPr="006E4D1A">
        <w:rPr>
          <w:rStyle w:val="A22"/>
          <w:rFonts w:ascii="Arial" w:hAnsi="Arial" w:cs="Arial"/>
          <w:color w:val="auto"/>
          <w:sz w:val="24"/>
          <w:szCs w:val="24"/>
        </w:rPr>
        <w:t>de sus actividades y productos.</w:t>
      </w:r>
      <w:r>
        <w:rPr>
          <w:rStyle w:val="A22"/>
          <w:rFonts w:ascii="Arial" w:hAnsi="Arial" w:cs="Arial"/>
          <w:color w:val="auto"/>
          <w:sz w:val="24"/>
          <w:szCs w:val="24"/>
        </w:rPr>
        <w:t xml:space="preserve"> </w:t>
      </w:r>
      <w:r>
        <w:rPr>
          <w:rStyle w:val="A22"/>
          <w:rFonts w:ascii="Arial" w:hAnsi="Arial" w:cs="Arial"/>
          <w:color w:val="auto"/>
          <w:sz w:val="24"/>
          <w:szCs w:val="24"/>
        </w:rPr>
        <w:br/>
      </w:r>
      <w:r w:rsidRPr="006E4D1A">
        <w:rPr>
          <w:rFonts w:ascii="Arial" w:hAnsi="Arial" w:cs="Arial"/>
          <w:sz w:val="24"/>
          <w:szCs w:val="17"/>
        </w:rPr>
        <w:t xml:space="preserve">La UNE, es el </w:t>
      </w:r>
      <w:r w:rsidRPr="006E4D1A">
        <w:rPr>
          <w:rFonts w:ascii="Arial" w:hAnsi="Arial" w:cs="Arial"/>
          <w:bCs/>
          <w:sz w:val="24"/>
          <w:szCs w:val="17"/>
        </w:rPr>
        <w:t xml:space="preserve">único Organismo de Normalización en España, </w:t>
      </w:r>
      <w:r w:rsidRPr="006E4D1A">
        <w:rPr>
          <w:rStyle w:val="A22"/>
          <w:rFonts w:ascii="Arial" w:hAnsi="Arial" w:cs="Arial"/>
          <w:color w:val="auto"/>
          <w:sz w:val="24"/>
        </w:rPr>
        <w:t xml:space="preserve">tiene por objeto contribuir a la </w:t>
      </w:r>
      <w:r w:rsidRPr="006E4D1A">
        <w:rPr>
          <w:rStyle w:val="A22"/>
          <w:rFonts w:ascii="Arial" w:hAnsi="Arial" w:cs="Arial"/>
          <w:bCs/>
          <w:color w:val="auto"/>
          <w:sz w:val="24"/>
        </w:rPr>
        <w:t xml:space="preserve">mayor y mejor implantación de la actividad de normalización </w:t>
      </w:r>
      <w:r w:rsidRPr="006E4D1A">
        <w:rPr>
          <w:rStyle w:val="A22"/>
          <w:rFonts w:ascii="Arial" w:hAnsi="Arial" w:cs="Arial"/>
          <w:color w:val="auto"/>
          <w:sz w:val="24"/>
        </w:rPr>
        <w:t>y a su desarrollo, orientando al mismo tiempo los esfuerzos de todas las partes interesadas en sus actividades.</w:t>
      </w:r>
      <w:r w:rsidR="00A82399">
        <w:rPr>
          <w:rStyle w:val="A22"/>
          <w:rFonts w:ascii="Arial" w:hAnsi="Arial" w:cs="Arial"/>
          <w:color w:val="auto"/>
          <w:sz w:val="24"/>
        </w:rPr>
        <w:t xml:space="preserve">  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 xml:space="preserve">Ser </w:t>
      </w:r>
      <w:r w:rsidR="00A82399" w:rsidRPr="00A82399">
        <w:rPr>
          <w:rStyle w:val="A22"/>
          <w:rFonts w:ascii="Arial" w:hAnsi="Arial" w:cs="Arial"/>
          <w:bCs/>
          <w:color w:val="auto"/>
          <w:sz w:val="24"/>
        </w:rPr>
        <w:t xml:space="preserve">miembro de UNE 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 xml:space="preserve">supone pertenecer a la mayor </w:t>
      </w:r>
      <w:r w:rsidR="00A82399" w:rsidRPr="00A82399">
        <w:rPr>
          <w:rStyle w:val="A22"/>
          <w:rFonts w:ascii="Arial" w:hAnsi="Arial" w:cs="Arial"/>
          <w:bCs/>
          <w:color w:val="auto"/>
          <w:sz w:val="24"/>
        </w:rPr>
        <w:t xml:space="preserve">red de influencia y generación de conocimiento 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>en el ámbito de la normalización, favoreciendo: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 xml:space="preserve"> </w:t>
      </w:r>
      <w:r w:rsidR="00A82399" w:rsidRPr="00A82399">
        <w:rPr>
          <w:rFonts w:ascii="Arial" w:hAnsi="Arial" w:cs="Arial"/>
          <w:sz w:val="24"/>
          <w:szCs w:val="17"/>
        </w:rPr>
        <w:t xml:space="preserve">La </w:t>
      </w:r>
      <w:r w:rsidR="00A82399" w:rsidRPr="00A82399">
        <w:rPr>
          <w:rFonts w:ascii="Arial" w:hAnsi="Arial" w:cs="Arial"/>
          <w:bCs/>
          <w:sz w:val="24"/>
          <w:szCs w:val="17"/>
        </w:rPr>
        <w:t xml:space="preserve">defensa de los intereses, </w:t>
      </w:r>
      <w:r w:rsidR="00A82399" w:rsidRPr="00A82399">
        <w:rPr>
          <w:rFonts w:ascii="Arial" w:hAnsi="Arial" w:cs="Arial"/>
          <w:sz w:val="24"/>
          <w:szCs w:val="17"/>
        </w:rPr>
        <w:t xml:space="preserve">El </w:t>
      </w:r>
      <w:r w:rsidR="00A82399" w:rsidRPr="00A82399">
        <w:rPr>
          <w:rFonts w:ascii="Arial" w:hAnsi="Arial" w:cs="Arial"/>
          <w:bCs/>
          <w:sz w:val="24"/>
          <w:szCs w:val="17"/>
        </w:rPr>
        <w:t xml:space="preserve">aumento de credibilidad y profesionalidad, 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 xml:space="preserve">El </w:t>
      </w:r>
      <w:r w:rsidR="00A82399" w:rsidRPr="00A82399">
        <w:rPr>
          <w:rStyle w:val="A22"/>
          <w:rFonts w:ascii="Arial" w:hAnsi="Arial" w:cs="Arial"/>
          <w:bCs/>
          <w:color w:val="auto"/>
          <w:sz w:val="24"/>
        </w:rPr>
        <w:t xml:space="preserve">progreso 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>tecnológico e industrial,</w:t>
      </w:r>
      <w:r w:rsidR="00A82399" w:rsidRPr="00A82399">
        <w:rPr>
          <w:rStyle w:val="A22"/>
          <w:rFonts w:ascii="Arial" w:hAnsi="Arial" w:cs="Arial"/>
          <w:color w:val="auto"/>
          <w:sz w:val="24"/>
        </w:rPr>
        <w:t xml:space="preserve"> </w:t>
      </w:r>
      <w:r w:rsidR="00A82399" w:rsidRPr="00A82399">
        <w:rPr>
          <w:rFonts w:ascii="Arial" w:hAnsi="Arial" w:cs="Arial"/>
          <w:sz w:val="24"/>
          <w:szCs w:val="17"/>
        </w:rPr>
        <w:t xml:space="preserve">La generación de </w:t>
      </w:r>
      <w:r w:rsidR="00A82399" w:rsidRPr="00A82399">
        <w:rPr>
          <w:rFonts w:ascii="Arial" w:hAnsi="Arial" w:cs="Arial"/>
          <w:bCs/>
          <w:sz w:val="24"/>
          <w:szCs w:val="17"/>
        </w:rPr>
        <w:t>empleo y riqueza</w:t>
      </w:r>
      <w:r w:rsidR="00A82399">
        <w:rPr>
          <w:rFonts w:ascii="Arial" w:hAnsi="Arial" w:cs="Arial"/>
          <w:bCs/>
          <w:sz w:val="24"/>
          <w:szCs w:val="17"/>
        </w:rPr>
        <w:t xml:space="preserve">. </w:t>
      </w:r>
    </w:p>
    <w:p w:rsidR="00A82399" w:rsidRDefault="00A82399" w:rsidP="00A82399">
      <w:pPr>
        <w:spacing w:line="360" w:lineRule="auto"/>
        <w:jc w:val="both"/>
        <w:rPr>
          <w:rStyle w:val="A22"/>
          <w:rFonts w:ascii="Arial" w:hAnsi="Arial" w:cs="Arial"/>
          <w:color w:val="auto"/>
          <w:sz w:val="24"/>
          <w:szCs w:val="24"/>
        </w:rPr>
      </w:pPr>
      <w:r w:rsidRPr="00A82399">
        <w:rPr>
          <w:rStyle w:val="A22"/>
          <w:rFonts w:ascii="Arial" w:hAnsi="Arial" w:cs="Arial"/>
          <w:color w:val="auto"/>
          <w:sz w:val="24"/>
        </w:rPr>
        <w:t>Las norma europeas</w:t>
      </w:r>
      <w:r w:rsidRPr="00A82399">
        <w:rPr>
          <w:rStyle w:val="A22"/>
          <w:rFonts w:ascii="Arial" w:hAnsi="Arial" w:cs="Arial"/>
          <w:color w:val="auto"/>
          <w:sz w:val="24"/>
        </w:rPr>
        <w:t>, f</w:t>
      </w:r>
      <w:r w:rsidRPr="00A82399">
        <w:rPr>
          <w:rStyle w:val="A22"/>
          <w:rFonts w:ascii="Arial" w:hAnsi="Arial" w:cs="Arial"/>
          <w:color w:val="auto"/>
          <w:sz w:val="24"/>
        </w:rPr>
        <w:t xml:space="preserve">avorecen el </w:t>
      </w:r>
      <w:r w:rsidRPr="00A82399">
        <w:rPr>
          <w:rStyle w:val="A22"/>
          <w:rFonts w:ascii="Arial" w:hAnsi="Arial" w:cs="Arial"/>
          <w:bCs/>
          <w:color w:val="auto"/>
          <w:sz w:val="24"/>
        </w:rPr>
        <w:t xml:space="preserve">comercio </w:t>
      </w:r>
      <w:r w:rsidRPr="00A82399">
        <w:rPr>
          <w:rStyle w:val="A22"/>
          <w:rFonts w:ascii="Arial" w:hAnsi="Arial" w:cs="Arial"/>
          <w:color w:val="auto"/>
          <w:sz w:val="24"/>
        </w:rPr>
        <w:t xml:space="preserve">y la prestación de </w:t>
      </w:r>
      <w:r w:rsidRPr="00A82399">
        <w:rPr>
          <w:rStyle w:val="A22"/>
          <w:rFonts w:ascii="Arial" w:hAnsi="Arial" w:cs="Arial"/>
          <w:color w:val="auto"/>
          <w:sz w:val="24"/>
        </w:rPr>
        <w:t>servicios en el mercado europeo, y g</w:t>
      </w:r>
      <w:r w:rsidRPr="00A82399">
        <w:rPr>
          <w:rStyle w:val="A22"/>
          <w:rFonts w:ascii="Arial" w:hAnsi="Arial" w:cs="Arial"/>
          <w:color w:val="auto"/>
          <w:sz w:val="24"/>
        </w:rPr>
        <w:t xml:space="preserve">ozan del </w:t>
      </w:r>
      <w:r w:rsidRPr="00A82399">
        <w:rPr>
          <w:rStyle w:val="A22"/>
          <w:rFonts w:ascii="Arial" w:hAnsi="Arial" w:cs="Arial"/>
          <w:bCs/>
          <w:color w:val="auto"/>
          <w:sz w:val="24"/>
        </w:rPr>
        <w:t xml:space="preserve">reconocimiento de la Comisión Europea </w:t>
      </w:r>
      <w:r w:rsidRPr="00A82399">
        <w:rPr>
          <w:rStyle w:val="A22"/>
          <w:rFonts w:ascii="Arial" w:hAnsi="Arial" w:cs="Arial"/>
          <w:color w:val="auto"/>
          <w:sz w:val="24"/>
        </w:rPr>
        <w:t>y de las administraciones nacionales como medio para demostrar el cumplimiento de las obligaciones legales.</w:t>
      </w:r>
      <w:r>
        <w:rPr>
          <w:rStyle w:val="A22"/>
          <w:rFonts w:ascii="Arial" w:hAnsi="Arial" w:cs="Arial"/>
          <w:color w:val="auto"/>
          <w:sz w:val="24"/>
        </w:rPr>
        <w:t xml:space="preserve">  </w:t>
      </w:r>
      <w:r w:rsidRPr="00A82399">
        <w:rPr>
          <w:rStyle w:val="A22"/>
          <w:rFonts w:ascii="Arial" w:hAnsi="Arial" w:cs="Arial"/>
          <w:color w:val="auto"/>
          <w:sz w:val="24"/>
        </w:rPr>
        <w:t>Las normas internacionales</w:t>
      </w:r>
      <w:r w:rsidRPr="00A82399">
        <w:rPr>
          <w:rStyle w:val="A22"/>
          <w:rFonts w:ascii="Arial" w:hAnsi="Arial" w:cs="Arial"/>
          <w:color w:val="auto"/>
          <w:sz w:val="24"/>
        </w:rPr>
        <w:t xml:space="preserve">, </w:t>
      </w:r>
      <w:r w:rsidRPr="00A82399">
        <w:rPr>
          <w:rFonts w:ascii="Arial" w:hAnsi="Arial" w:cs="Arial"/>
          <w:sz w:val="24"/>
          <w:szCs w:val="17"/>
        </w:rPr>
        <w:t xml:space="preserve">posibilitan el acceso al </w:t>
      </w:r>
      <w:r w:rsidRPr="00A82399">
        <w:rPr>
          <w:rFonts w:ascii="Arial" w:hAnsi="Arial" w:cs="Arial"/>
          <w:bCs/>
          <w:sz w:val="24"/>
          <w:szCs w:val="17"/>
        </w:rPr>
        <w:t>mercado global, s</w:t>
      </w:r>
      <w:r w:rsidRPr="00A82399">
        <w:rPr>
          <w:rStyle w:val="A22"/>
          <w:rFonts w:ascii="Arial" w:hAnsi="Arial" w:cs="Arial"/>
          <w:color w:val="auto"/>
          <w:sz w:val="24"/>
        </w:rPr>
        <w:t xml:space="preserve">on reconocidas por la </w:t>
      </w:r>
      <w:r w:rsidRPr="00A82399">
        <w:rPr>
          <w:rStyle w:val="A22"/>
          <w:rFonts w:ascii="Arial" w:hAnsi="Arial" w:cs="Arial"/>
          <w:bCs/>
          <w:color w:val="auto"/>
          <w:sz w:val="24"/>
        </w:rPr>
        <w:t xml:space="preserve">Organización Mundial del Comercio </w:t>
      </w:r>
      <w:r w:rsidRPr="00A82399">
        <w:rPr>
          <w:rStyle w:val="A22"/>
          <w:rFonts w:ascii="Arial" w:hAnsi="Arial" w:cs="Arial"/>
          <w:color w:val="auto"/>
          <w:sz w:val="24"/>
        </w:rPr>
        <w:t>como mecanismos para evitar la creación de obstáculos técnicos al comercio.</w:t>
      </w:r>
      <w:r>
        <w:rPr>
          <w:rStyle w:val="A22"/>
          <w:rFonts w:ascii="Arial" w:hAnsi="Arial" w:cs="Arial"/>
          <w:color w:val="auto"/>
          <w:sz w:val="24"/>
        </w:rPr>
        <w:t xml:space="preserve">  </w:t>
      </w:r>
      <w:r w:rsidRPr="00D147FF">
        <w:rPr>
          <w:rFonts w:ascii="Arial" w:hAnsi="Arial" w:cs="Arial"/>
          <w:sz w:val="24"/>
          <w:szCs w:val="24"/>
        </w:rPr>
        <w:t xml:space="preserve">Las normas se elaboran en </w:t>
      </w:r>
      <w:r w:rsidRPr="00D147FF">
        <w:rPr>
          <w:rFonts w:ascii="Arial" w:hAnsi="Arial" w:cs="Arial"/>
          <w:bCs/>
          <w:sz w:val="24"/>
          <w:szCs w:val="24"/>
        </w:rPr>
        <w:t xml:space="preserve">Comités Técnicos de Normalización (CTN) </w:t>
      </w:r>
      <w:r w:rsidRPr="00D147FF">
        <w:rPr>
          <w:rFonts w:ascii="Arial" w:hAnsi="Arial" w:cs="Arial"/>
          <w:sz w:val="24"/>
          <w:szCs w:val="24"/>
        </w:rPr>
        <w:t xml:space="preserve">gestionados por los </w:t>
      </w:r>
      <w:r w:rsidRPr="00D147FF">
        <w:rPr>
          <w:rFonts w:ascii="Arial" w:hAnsi="Arial" w:cs="Arial"/>
          <w:bCs/>
          <w:sz w:val="24"/>
          <w:szCs w:val="24"/>
        </w:rPr>
        <w:t xml:space="preserve">servicios técnicos de UNE </w:t>
      </w:r>
      <w:r w:rsidRPr="00D147FF">
        <w:rPr>
          <w:rFonts w:ascii="Arial" w:hAnsi="Arial" w:cs="Arial"/>
          <w:sz w:val="24"/>
          <w:szCs w:val="24"/>
        </w:rPr>
        <w:t xml:space="preserve">y cuya secretaría es, generalmente, desempeñada por una </w:t>
      </w:r>
      <w:r w:rsidRPr="00D147FF">
        <w:rPr>
          <w:rFonts w:ascii="Arial" w:hAnsi="Arial" w:cs="Arial"/>
          <w:bCs/>
          <w:sz w:val="24"/>
          <w:szCs w:val="24"/>
        </w:rPr>
        <w:t xml:space="preserve">asociación o federación empresarial.  </w:t>
      </w:r>
      <w:r w:rsidR="00D147FF" w:rsidRPr="00D147FF">
        <w:rPr>
          <w:rStyle w:val="A22"/>
          <w:rFonts w:ascii="Arial" w:hAnsi="Arial" w:cs="Arial"/>
          <w:color w:val="auto"/>
          <w:sz w:val="24"/>
          <w:szCs w:val="24"/>
        </w:rPr>
        <w:t xml:space="preserve">Además los CTN están compuestos por una serie de </w:t>
      </w:r>
      <w:r w:rsidR="00D147FF" w:rsidRPr="00D147FF">
        <w:rPr>
          <w:rStyle w:val="A22"/>
          <w:rFonts w:ascii="Arial" w:hAnsi="Arial" w:cs="Arial"/>
          <w:bCs/>
          <w:color w:val="auto"/>
          <w:sz w:val="24"/>
          <w:szCs w:val="24"/>
        </w:rPr>
        <w:t xml:space="preserve">vocales </w:t>
      </w:r>
      <w:r w:rsidR="00D147FF" w:rsidRPr="00D147FF">
        <w:rPr>
          <w:rStyle w:val="A22"/>
          <w:rFonts w:ascii="Arial" w:hAnsi="Arial" w:cs="Arial"/>
          <w:color w:val="auto"/>
          <w:sz w:val="24"/>
          <w:szCs w:val="24"/>
        </w:rPr>
        <w:t xml:space="preserve">que constituyen una </w:t>
      </w:r>
      <w:r w:rsidR="00D147FF" w:rsidRPr="00D147FF">
        <w:rPr>
          <w:rStyle w:val="A22"/>
          <w:rFonts w:ascii="Arial" w:hAnsi="Arial" w:cs="Arial"/>
          <w:bCs/>
          <w:color w:val="auto"/>
          <w:sz w:val="24"/>
          <w:szCs w:val="24"/>
        </w:rPr>
        <w:t xml:space="preserve">representación equilibrada de toda la cadena de valor </w:t>
      </w:r>
      <w:r w:rsidR="00D147FF" w:rsidRPr="00D147FF">
        <w:rPr>
          <w:rStyle w:val="A22"/>
          <w:rFonts w:ascii="Arial" w:hAnsi="Arial" w:cs="Arial"/>
          <w:color w:val="auto"/>
          <w:sz w:val="24"/>
          <w:szCs w:val="24"/>
        </w:rPr>
        <w:t>del producto o servicio normalizado.</w:t>
      </w:r>
    </w:p>
    <w:p w:rsidR="00D147FF" w:rsidRPr="00D147FF" w:rsidRDefault="00D147FF" w:rsidP="00A8239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D147FF">
        <w:rPr>
          <w:rStyle w:val="A22"/>
          <w:rFonts w:ascii="Arial" w:hAnsi="Arial" w:cs="Arial"/>
          <w:color w:val="auto"/>
          <w:sz w:val="24"/>
          <w:szCs w:val="28"/>
        </w:rPr>
        <w:lastRenderedPageBreak/>
        <w:t xml:space="preserve">La </w:t>
      </w:r>
      <w:r w:rsidRPr="00D147FF">
        <w:rPr>
          <w:rStyle w:val="A22"/>
          <w:rFonts w:ascii="Arial" w:hAnsi="Arial" w:cs="Arial"/>
          <w:bCs/>
          <w:color w:val="auto"/>
          <w:sz w:val="24"/>
          <w:szCs w:val="28"/>
        </w:rPr>
        <w:t xml:space="preserve">participación 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en las actividades de normalización permite: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 xml:space="preserve"> a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 xml:space="preserve">dquirir </w:t>
      </w:r>
      <w:r w:rsidRPr="00D147FF">
        <w:rPr>
          <w:rStyle w:val="A22"/>
          <w:rFonts w:ascii="Arial" w:hAnsi="Arial" w:cs="Arial"/>
          <w:bCs/>
          <w:color w:val="auto"/>
          <w:sz w:val="24"/>
          <w:szCs w:val="28"/>
        </w:rPr>
        <w:t xml:space="preserve">conocimiento detallado 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de las normas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 xml:space="preserve">, </w:t>
      </w:r>
      <w:r w:rsidRPr="00D147FF">
        <w:rPr>
          <w:rFonts w:ascii="Arial" w:hAnsi="Arial" w:cs="Arial"/>
          <w:sz w:val="24"/>
          <w:szCs w:val="28"/>
        </w:rPr>
        <w:t xml:space="preserve">influir en el contenido de las normas, 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e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 xml:space="preserve">stablecer </w:t>
      </w:r>
      <w:r w:rsidRPr="00D147FF">
        <w:rPr>
          <w:rStyle w:val="A22"/>
          <w:rFonts w:ascii="Arial" w:hAnsi="Arial" w:cs="Arial"/>
          <w:bCs/>
          <w:color w:val="auto"/>
          <w:sz w:val="24"/>
          <w:szCs w:val="28"/>
        </w:rPr>
        <w:t xml:space="preserve">contactos 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con otras partes interesadas, los expertos y los reguladores, tanto a ni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vel nacional como internacional, c</w:t>
      </w:r>
      <w:r w:rsidRPr="00D147FF">
        <w:rPr>
          <w:rStyle w:val="A22"/>
          <w:rFonts w:ascii="Arial" w:hAnsi="Arial" w:cs="Arial"/>
          <w:color w:val="auto"/>
          <w:sz w:val="24"/>
          <w:szCs w:val="28"/>
        </w:rPr>
        <w:t>ontribuir a la elaboración de normas que garanticen una mayor seguridad</w:t>
      </w:r>
      <w:r>
        <w:rPr>
          <w:rStyle w:val="A22"/>
          <w:rFonts w:ascii="Arial" w:hAnsi="Arial" w:cs="Arial"/>
          <w:color w:val="auto"/>
          <w:sz w:val="24"/>
          <w:szCs w:val="28"/>
        </w:rPr>
        <w:t xml:space="preserve">.  </w:t>
      </w:r>
      <w:r w:rsidRPr="00D147FF">
        <w:rPr>
          <w:rFonts w:ascii="Arial" w:hAnsi="Arial" w:cs="Arial"/>
          <w:sz w:val="24"/>
          <w:szCs w:val="24"/>
        </w:rPr>
        <w:t xml:space="preserve">Las normas </w:t>
      </w:r>
      <w:r w:rsidRPr="00D147FF">
        <w:rPr>
          <w:rFonts w:ascii="Arial" w:hAnsi="Arial" w:cs="Arial"/>
          <w:bCs/>
          <w:sz w:val="24"/>
          <w:szCs w:val="24"/>
        </w:rPr>
        <w:t xml:space="preserve">proporcionan: </w:t>
      </w:r>
      <w:r w:rsidRPr="00D147FF">
        <w:rPr>
          <w:rFonts w:ascii="Arial" w:hAnsi="Arial" w:cs="Arial"/>
          <w:sz w:val="24"/>
          <w:szCs w:val="24"/>
        </w:rPr>
        <w:t xml:space="preserve">Seguridad y confianza, </w:t>
      </w:r>
      <w:r>
        <w:rPr>
          <w:rFonts w:ascii="Arial" w:hAnsi="Arial" w:cs="Arial"/>
          <w:sz w:val="24"/>
          <w:szCs w:val="24"/>
        </w:rPr>
        <w:t>a</w:t>
      </w:r>
      <w:r w:rsidRPr="00D147FF">
        <w:rPr>
          <w:rFonts w:ascii="Arial" w:hAnsi="Arial" w:cs="Arial"/>
          <w:sz w:val="24"/>
          <w:szCs w:val="24"/>
        </w:rPr>
        <w:t xml:space="preserve">poyo a </w:t>
      </w:r>
      <w:r w:rsidRPr="00D147FF">
        <w:rPr>
          <w:rFonts w:ascii="Arial" w:hAnsi="Arial" w:cs="Arial"/>
          <w:bCs/>
          <w:sz w:val="24"/>
          <w:szCs w:val="24"/>
        </w:rPr>
        <w:t>las políticas públicas y a la legislación</w:t>
      </w:r>
      <w:bookmarkStart w:id="0" w:name="_GoBack"/>
      <w:bookmarkEnd w:id="0"/>
    </w:p>
    <w:p w:rsidR="00A82399" w:rsidRPr="00A82399" w:rsidRDefault="00A82399" w:rsidP="00A82399">
      <w:pPr>
        <w:spacing w:line="360" w:lineRule="auto"/>
        <w:jc w:val="both"/>
        <w:rPr>
          <w:rFonts w:ascii="Arial" w:hAnsi="Arial" w:cs="Arial"/>
          <w:bCs/>
          <w:sz w:val="56"/>
          <w:szCs w:val="17"/>
        </w:rPr>
      </w:pPr>
    </w:p>
    <w:sectPr w:rsidR="00A82399" w:rsidRPr="00A823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D1A"/>
    <w:rsid w:val="006E4D1A"/>
    <w:rsid w:val="00713B12"/>
    <w:rsid w:val="00A82399"/>
    <w:rsid w:val="00D1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22">
    <w:name w:val="A22"/>
    <w:uiPriority w:val="99"/>
    <w:rsid w:val="006E4D1A"/>
    <w:rPr>
      <w:rFonts w:cs="Verdana"/>
      <w:color w:val="000000"/>
      <w:sz w:val="17"/>
      <w:szCs w:val="17"/>
    </w:rPr>
  </w:style>
  <w:style w:type="paragraph" w:customStyle="1" w:styleId="Pa11">
    <w:name w:val="Pa11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character" w:customStyle="1" w:styleId="A1">
    <w:name w:val="A1"/>
    <w:uiPriority w:val="99"/>
    <w:rsid w:val="00A82399"/>
    <w:rPr>
      <w:rFonts w:cs="Verdana"/>
      <w:b/>
      <w:bCs/>
      <w:color w:val="000000"/>
      <w:sz w:val="18"/>
      <w:szCs w:val="18"/>
    </w:rPr>
  </w:style>
  <w:style w:type="paragraph" w:customStyle="1" w:styleId="Pa0">
    <w:name w:val="Pa0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22">
    <w:name w:val="A22"/>
    <w:uiPriority w:val="99"/>
    <w:rsid w:val="006E4D1A"/>
    <w:rPr>
      <w:rFonts w:cs="Verdana"/>
      <w:color w:val="000000"/>
      <w:sz w:val="17"/>
      <w:szCs w:val="17"/>
    </w:rPr>
  </w:style>
  <w:style w:type="paragraph" w:customStyle="1" w:styleId="Pa11">
    <w:name w:val="Pa11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character" w:customStyle="1" w:styleId="A1">
    <w:name w:val="A1"/>
    <w:uiPriority w:val="99"/>
    <w:rsid w:val="00A82399"/>
    <w:rPr>
      <w:rFonts w:cs="Verdana"/>
      <w:b/>
      <w:bCs/>
      <w:color w:val="000000"/>
      <w:sz w:val="18"/>
      <w:szCs w:val="18"/>
    </w:rPr>
  </w:style>
  <w:style w:type="paragraph" w:customStyle="1" w:styleId="Pa0">
    <w:name w:val="Pa0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A82399"/>
    <w:pPr>
      <w:autoSpaceDE w:val="0"/>
      <w:autoSpaceDN w:val="0"/>
      <w:adjustRightInd w:val="0"/>
      <w:spacing w:after="0" w:line="241" w:lineRule="atLeast"/>
    </w:pPr>
    <w:rPr>
      <w:rFonts w:ascii="Verdana" w:hAnsi="Verdan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2020-02-28T05:46:00Z</dcterms:created>
  <dcterms:modified xsi:type="dcterms:W3CDTF">2020-02-28T06:41:00Z</dcterms:modified>
</cp:coreProperties>
</file>